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369</w:t>
      </w:r>
    </w:p>
    <w:p>
      <w:r>
        <w:t>Bundesgericht (BGE), 2015-08-27, DE</w:t>
      </w:r>
    </w:p>
    <w:p>
      <w:r>
        <w:rPr>
          <w:b/>
        </w:rPr>
        <w:t xml:space="preserve">Quelle: </w:t>
      </w:r>
      <w:r>
        <w:t>https://mcp.opencaselaw.ch/entscheid/bge_141 IV 369</w:t>
      </w:r>
    </w:p>
    <w:p>
      <w:r>
        <w:t>FR: ATF 141 IV 369</w:t>
      </w:r>
    </w:p>
    <w:p>
      <w:r>
        <w:t>IT: DTF 141 IV 369</w:t>
      </w:r>
    </w:p>
    <w:p>
      <w:pPr>
        <w:pStyle w:val="Heading2"/>
      </w:pPr>
      <w:r>
        <w:t>Regeste</w:t>
      </w:r>
    </w:p>
    <w:p>
      <w:r>
        <w:t>Regeste a Art. 9 BV; Stellenwert von Parteigutachten. Den Ergebnissen eines vom Beschuldigten in Auftrag gegebenen Parteigutachtens kommt lediglich die Bedeutung einer der freien Beweiswürdigung unterliegenden Parteibehauptung zu (E. 6).</w:t>
      </w:r>
    </w:p>
    <w:p>
      <w:r>
        <w:t>Regeste b Art. 251 Ziff. 1 StGB; Falschbeurkundung, Rechnungslegung; Handeln in Vorteilsabsicht. Die Einreichung unwahrer Jahresrechnungen im Rahmen von Verhandlungen mit Banken über Kreditgewährungen oder -verlängerungen erfüllt den subjektiven Tatbestand der Falschbeurkundung, soweit damit angestrebt wird, die eigene Position bei den Kreditverhandlungen zu verbessern. Ob die kreditsuchende Firmengruppe aus gesamtwirtschaftlicher Sicht überschuldet war oder nicht, ist in diesem Kontext nicht von Bedeutung (E. 7).</w:t>
      </w:r>
    </w:p>
    <w:p>
      <w:pPr>
        <w:pStyle w:val="Heading2"/>
      </w:pPr>
      <w:r>
        <w:t>Erwägungen</w:t>
      </w:r>
    </w:p>
    <w:p>
      <w:r>
        <w:rPr>
          <w:b/>
        </w:rPr>
        <w:t>E. 6.1</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Nach dem Grundsatz der freien Beweiswürdigung entscheiden die Organe der Strafrechtspflege frei von Beweisregeln und nur nach ihrer persönlichen Ansicht aufgrund gewissenhafter Prüfung darüber, ob sie eine Tatsache für erwiesen halten (vgl. Art. 10 Abs. 2 StPO ).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BGE 141 IV 369 S. 373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willkürlicher Beweiswürdigung ( Art. 9 BV ) verstossen ( BGE 136 II 539 E. 3.2; BGE 133 II 384 E. 4.2.3; BGE 132 II 257 E. 4.4.1; BGE 130 I 337 E. 5.4.2; BGE 129 I 49 E. 4; BGE 128 I 81 E. 2).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(Urteil des Bundesgerichts 6B_829/2013 vom 6. Mai 2014 E. 4.1).</w:t>
      </w:r>
    </w:p>
    <w:p>
      <w:r>
        <w:rPr>
          <w:b/>
        </w:rPr>
        <w:t>E. 6.2</w:t>
      </w:r>
    </w:p>
    <w:p>
      <w:r>
        <w:t>Privatgutachten haben nach konstanter Praxis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Bestandteils der Parteivorbringen zu, nicht die Qualität eines Beweismittels ( BGE 132 III 83 E. 3.4; BGE 127 I 73 E. 3f/bb S. 82; vgl. Urteil 6B_215/2013 vom 27. Januar 2014 E. 1.2; MARIANNE HEER, in: Basler Kommentar, Schweizerische Strafprozessordnung, 2. Aufl. 2014, N. 6 zu Art. 189 StPO ). Da Privatgutachten in der Regel nur eingereicht werden, wenn sie für den Auftraggeber günstig lauten, sind sie mit Zurückhaltung zu würdigen (ANDREAS DONATSCH, in: Kommentar zur Schweizerischen Strafprozessordnung, Donatsch und andere [Hrsg.], 2. Aufl. 2014, N. 15 zu Art. 182 StPO ).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beauftragenden privaten Partei und äussert seine BGE 141 IV 369 S. 374 Meinung, ohne von den juristischen Entscheidungsträgern in die Pflicht genommen worden zu sein. Es ist daher beim Privatgutachter vom Anschein einer Befangenheit auszugehen, zumal er vom Angeschuldigten nach dessen Kriterien ausgewählt worden ist, zu diesem in einem Vertrags- und Treueverhältnis steht und von ihm entlöhnt wird. Demgegenüber ist der amtliche Sachverständige oder Experte - gleichgültig ob er von der Untersuchungsbehörde oder vom Gericht ernannt wurde - nicht Gutachter einer Partei, namentlich auch nicht des Untersuchungsrichters oder des Anklägers. Er ist vielmehr Entscheidungsgehilfe des Richters, dessen Wissen und Erfahrungen er durch besondere Kenntnisse auf seinem Sachgebiet ergänzt ( BGE 127 I 73 E. 3f/bb S. 81 f.; BGE 118 Ia 144 E. 1c; je mit Hinweisen; vgl. auch DONATSCH, a.a.O., N. 2 zu Art. 182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